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56" w:rsidRPr="0045153C" w:rsidRDefault="00224B57" w:rsidP="00201144">
      <w:pPr>
        <w:pStyle w:val="Title"/>
        <w:ind w:left="1134" w:right="521"/>
        <w:rPr>
          <w:color w:val="000000" w:themeColor="text1"/>
          <w:sz w:val="64"/>
          <w:szCs w:val="64"/>
          <w:lang w:val="en-GB"/>
        </w:rPr>
      </w:pPr>
      <w:sdt>
        <w:sdtPr>
          <w:rPr>
            <w:rFonts w:ascii="Georgia" w:hAnsi="Georgia"/>
            <w:iCs/>
            <w:color w:val="000000" w:themeColor="text1"/>
            <w:sz w:val="72"/>
            <w:szCs w:val="64"/>
            <w:lang w:val="en-GB"/>
          </w:rPr>
          <w:alias w:val="Title"/>
          <w:id w:val="13461468"/>
          <w:dataBinding w:prefixMappings="xmlns:ns0='http://purl.org/dc/elements/1.1/' xmlns:ns1='http://schemas.openxmlformats.org/package/2006/metadata/core-properties' " w:xpath="/ns1:coreProperties[1]/ns0:title[1]" w:storeItemID="{6C3C8BC8-F283-45AE-878A-BAB7291924A1}"/>
          <w:text/>
        </w:sdtPr>
        <w:sdtEndPr/>
        <w:sdtContent>
          <w:r w:rsidR="00333756" w:rsidRPr="00201144">
            <w:rPr>
              <w:rFonts w:ascii="Georgia" w:hAnsi="Georgia"/>
              <w:iCs/>
              <w:color w:val="000000" w:themeColor="text1"/>
              <w:sz w:val="72"/>
              <w:szCs w:val="64"/>
              <w:lang w:val="en-IN"/>
            </w:rPr>
            <w:t xml:space="preserve"> </w:t>
          </w:r>
          <w:r w:rsidR="00201144">
            <w:rPr>
              <w:rFonts w:ascii="Georgia" w:hAnsi="Georgia"/>
              <w:iCs/>
              <w:color w:val="000000" w:themeColor="text1"/>
              <w:sz w:val="72"/>
              <w:szCs w:val="64"/>
              <w:lang w:val="en-IN"/>
            </w:rPr>
            <w:t xml:space="preserve">Discussion paper on </w:t>
          </w:r>
          <w:r w:rsidR="00856585">
            <w:rPr>
              <w:rFonts w:ascii="Georgia" w:hAnsi="Georgia"/>
              <w:iCs/>
              <w:color w:val="000000" w:themeColor="text1"/>
              <w:sz w:val="72"/>
              <w:szCs w:val="64"/>
              <w:lang w:val="en-IN"/>
            </w:rPr>
            <w:t>UPERC (</w:t>
          </w:r>
          <w:r w:rsidR="0094596B">
            <w:rPr>
              <w:rFonts w:ascii="Georgia" w:hAnsi="Georgia"/>
              <w:iCs/>
              <w:color w:val="000000" w:themeColor="text1"/>
              <w:sz w:val="72"/>
              <w:szCs w:val="64"/>
              <w:lang w:val="en-IN"/>
            </w:rPr>
            <w:t xml:space="preserve">Rooftop </w:t>
          </w:r>
          <w:r w:rsidR="00333756" w:rsidRPr="00201144">
            <w:rPr>
              <w:rFonts w:ascii="Georgia" w:hAnsi="Georgia"/>
              <w:iCs/>
              <w:color w:val="000000" w:themeColor="text1"/>
              <w:sz w:val="72"/>
              <w:szCs w:val="64"/>
              <w:lang w:val="en-IN"/>
            </w:rPr>
            <w:t xml:space="preserve">Solar </w:t>
          </w:r>
          <w:r w:rsidR="0094596B">
            <w:rPr>
              <w:rFonts w:ascii="Georgia" w:hAnsi="Georgia"/>
              <w:iCs/>
              <w:color w:val="000000" w:themeColor="text1"/>
              <w:sz w:val="72"/>
              <w:szCs w:val="64"/>
              <w:lang w:val="en-IN"/>
            </w:rPr>
            <w:t>PV</w:t>
          </w:r>
          <w:r w:rsidR="00856585">
            <w:rPr>
              <w:rFonts w:ascii="Georgia" w:hAnsi="Georgia"/>
              <w:iCs/>
              <w:color w:val="000000" w:themeColor="text1"/>
              <w:sz w:val="72"/>
              <w:szCs w:val="64"/>
              <w:lang w:val="en-IN"/>
            </w:rPr>
            <w:t xml:space="preserve"> Grid Interactive System Gross / Net Metering)</w:t>
          </w:r>
          <w:r w:rsidR="00333756" w:rsidRPr="00201144">
            <w:rPr>
              <w:rFonts w:ascii="Georgia" w:hAnsi="Georgia"/>
              <w:iCs/>
              <w:color w:val="000000" w:themeColor="text1"/>
              <w:sz w:val="72"/>
              <w:szCs w:val="64"/>
              <w:lang w:val="en-IN"/>
            </w:rPr>
            <w:t xml:space="preserve"> </w:t>
          </w:r>
          <w:r w:rsidR="00856585">
            <w:rPr>
              <w:rFonts w:ascii="Georgia" w:hAnsi="Georgia"/>
              <w:iCs/>
              <w:color w:val="000000" w:themeColor="text1"/>
              <w:sz w:val="72"/>
              <w:szCs w:val="64"/>
              <w:lang w:val="en-IN"/>
            </w:rPr>
            <w:t>Regulations,</w:t>
          </w:r>
          <w:r w:rsidR="00333756" w:rsidRPr="00201144">
            <w:rPr>
              <w:rFonts w:ascii="Georgia" w:hAnsi="Georgia"/>
              <w:iCs/>
              <w:color w:val="000000" w:themeColor="text1"/>
              <w:sz w:val="72"/>
              <w:szCs w:val="64"/>
              <w:lang w:val="en-IN"/>
            </w:rPr>
            <w:t xml:space="preserve"> 2015 </w:t>
          </w:r>
        </w:sdtContent>
      </w:sdt>
    </w:p>
    <w:p w:rsidR="00333756" w:rsidRDefault="00224B57" w:rsidP="00333756">
      <w:sdt>
        <w:sdtPr>
          <w:rPr>
            <w:color w:val="000000" w:themeColor="text1"/>
            <w:sz w:val="64"/>
            <w:szCs w:val="64"/>
            <w:lang w:val="en-GB"/>
          </w:rPr>
          <w:alias w:val="Subject"/>
          <w:id w:val="13461469"/>
          <w:showingPlcHdr/>
          <w:dataBinding w:prefixMappings="xmlns:ns0='http://purl.org/dc/elements/1.1/' xmlns:ns1='http://schemas.openxmlformats.org/package/2006/metadata/core-properties' " w:xpath="/ns1:coreProperties[1]/ns0:subject[1]" w:storeItemID="{6C3C8BC8-F283-45AE-878A-BAB7291924A1}"/>
          <w:text/>
        </w:sdtPr>
        <w:sdtEndPr/>
        <w:sdtContent>
          <w:r w:rsidR="00333756">
            <w:rPr>
              <w:color w:val="000000" w:themeColor="text1"/>
              <w:sz w:val="64"/>
              <w:szCs w:val="64"/>
              <w:lang w:val="en-GB"/>
            </w:rPr>
            <w:t xml:space="preserve">     </w:t>
          </w:r>
        </w:sdtContent>
      </w:sdt>
      <w:r w:rsidR="00333756">
        <w:t xml:space="preserve"> </w:t>
      </w:r>
    </w:p>
    <w:sdt>
      <w:sdtPr>
        <w:id w:val="-788504841"/>
        <w:docPartObj>
          <w:docPartGallery w:val="Cover Pages"/>
          <w:docPartUnique/>
        </w:docPartObj>
      </w:sdtPr>
      <w:sdtEndPr>
        <w:rPr>
          <w:rFonts w:ascii="Georgia" w:hAnsi="Georgia"/>
        </w:rPr>
      </w:sdtEndPr>
      <w:sdtContent>
        <w:p w:rsidR="00333756" w:rsidRDefault="00333756" w:rsidP="00333756"/>
        <w:p w:rsidR="00333756" w:rsidRDefault="00333756" w:rsidP="00333756"/>
        <w:p w:rsidR="00201144" w:rsidRDefault="00201144" w:rsidP="00333756"/>
        <w:p w:rsidR="00201144" w:rsidRDefault="00201144" w:rsidP="00333756"/>
        <w:p w:rsidR="00333756" w:rsidRDefault="00333756" w:rsidP="00333756"/>
        <w:p w:rsidR="00333756" w:rsidRDefault="00333756" w:rsidP="00333756"/>
        <w:p w:rsidR="00333756" w:rsidRDefault="00333756" w:rsidP="00333756"/>
        <w:p w:rsidR="00333756" w:rsidRDefault="00333756" w:rsidP="00333756">
          <w:r>
            <w:tab/>
          </w:r>
          <w:r>
            <w:tab/>
          </w:r>
          <w:r w:rsidRPr="0045153C">
            <w:rPr>
              <w:noProof/>
              <w:color w:val="000000" w:themeColor="text1"/>
              <w:lang w:eastAsia="en-IN"/>
            </w:rPr>
            <w:drawing>
              <wp:inline distT="0" distB="0" distL="0" distR="0" wp14:anchorId="3AA789C9" wp14:editId="485DC8DF">
                <wp:extent cx="170497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a:ln>
                          <a:noFill/>
                        </a:ln>
                      </pic:spPr>
                    </pic:pic>
                  </a:graphicData>
                </a:graphic>
              </wp:inline>
            </w:drawing>
          </w:r>
        </w:p>
        <w:p w:rsidR="00333756" w:rsidRDefault="00333756">
          <w:pPr>
            <w:rPr>
              <w:rFonts w:ascii="Georgia" w:hAnsi="Georgia"/>
            </w:rPr>
          </w:pPr>
          <w:r>
            <w:rPr>
              <w:rFonts w:ascii="Georgia" w:hAnsi="Georgia"/>
            </w:rPr>
            <w:br w:type="page"/>
          </w:r>
        </w:p>
      </w:sdtContent>
    </w:sdt>
    <w:p w:rsidR="00A971D4" w:rsidRPr="00810B8E" w:rsidRDefault="00296847" w:rsidP="00810B8E">
      <w:pPr>
        <w:rPr>
          <w:rFonts w:ascii="Georgia" w:hAnsi="Georgia"/>
          <w:b/>
          <w:i/>
          <w:sz w:val="48"/>
          <w:szCs w:val="48"/>
        </w:rPr>
      </w:pPr>
      <w:r w:rsidRPr="00810B8E">
        <w:rPr>
          <w:rFonts w:ascii="Georgia" w:hAnsi="Georgia"/>
          <w:b/>
          <w:i/>
          <w:sz w:val="48"/>
          <w:szCs w:val="48"/>
        </w:rPr>
        <w:lastRenderedPageBreak/>
        <w:t>Introduction</w:t>
      </w:r>
    </w:p>
    <w:p w:rsidR="00281473" w:rsidRPr="00DE5C9A" w:rsidRDefault="00281473" w:rsidP="00281473">
      <w:pPr>
        <w:jc w:val="both"/>
        <w:rPr>
          <w:rFonts w:ascii="Georgia" w:hAnsi="Georgia"/>
          <w:sz w:val="24"/>
          <w:szCs w:val="24"/>
        </w:rPr>
      </w:pPr>
      <w:r w:rsidRPr="00DE5C9A">
        <w:rPr>
          <w:rFonts w:ascii="Georgia" w:hAnsi="Georgia"/>
          <w:sz w:val="24"/>
          <w:szCs w:val="24"/>
        </w:rPr>
        <w:t>The State of Uttar Pradesh is among the top consumers of electricity per annum. With the depleting coal reserves and inadequate supply of other fuel, all possible viable options for the generation of the electricity need to be explored. Under these circumstances, the power generation based on renewable energy resources can play a significant role in meeting State’s future demands of electricity.</w:t>
      </w:r>
    </w:p>
    <w:p w:rsidR="00281473" w:rsidRDefault="00281473" w:rsidP="00281473">
      <w:pPr>
        <w:jc w:val="both"/>
        <w:rPr>
          <w:rFonts w:ascii="Georgia" w:hAnsi="Georgia"/>
          <w:sz w:val="24"/>
          <w:szCs w:val="24"/>
        </w:rPr>
      </w:pPr>
      <w:r w:rsidRPr="00DE5C9A">
        <w:rPr>
          <w:rFonts w:ascii="Georgia" w:hAnsi="Georgia"/>
          <w:sz w:val="24"/>
          <w:szCs w:val="24"/>
        </w:rPr>
        <w:t>The State has vast potential for deployment of plants utilising Solar Energy. The State receives daily average solar radiation in the range 5.0 kWh/sqm –5.5 kWh/sqm, in most of its part, offering opportunity for deployment of suitable solar energy facilities.</w:t>
      </w:r>
    </w:p>
    <w:p w:rsidR="00A207A9" w:rsidRPr="00445812" w:rsidRDefault="00281473" w:rsidP="00445812">
      <w:pPr>
        <w:spacing w:line="276" w:lineRule="auto"/>
        <w:jc w:val="both"/>
        <w:rPr>
          <w:rFonts w:ascii="Georgia" w:hAnsi="Georgia"/>
          <w:sz w:val="24"/>
          <w:szCs w:val="24"/>
        </w:rPr>
      </w:pPr>
      <w:r>
        <w:rPr>
          <w:rFonts w:ascii="Georgia" w:hAnsi="Georgia"/>
          <w:sz w:val="24"/>
          <w:szCs w:val="24"/>
        </w:rPr>
        <w:t xml:space="preserve">In view of the same, the Uttar Pradesh Electricity Regulatory Commission in exercise of powers </w:t>
      </w:r>
      <w:r w:rsidRPr="00281473">
        <w:rPr>
          <w:rFonts w:ascii="Georgia" w:hAnsi="Georgia"/>
          <w:sz w:val="24"/>
          <w:szCs w:val="24"/>
        </w:rPr>
        <w:t>conferred under section 61, 66, 86(1)(e) and 181 of the Electricity Act, 2003 and all other powers enabling in this behalf</w:t>
      </w:r>
      <w:r>
        <w:rPr>
          <w:rFonts w:ascii="Georgia" w:hAnsi="Georgia"/>
          <w:sz w:val="24"/>
          <w:szCs w:val="24"/>
        </w:rPr>
        <w:t xml:space="preserve"> made </w:t>
      </w:r>
      <w:r w:rsidRPr="00DE5C9A">
        <w:rPr>
          <w:rFonts w:ascii="Georgia" w:hAnsi="Georgia"/>
          <w:sz w:val="24"/>
          <w:szCs w:val="24"/>
        </w:rPr>
        <w:t xml:space="preserve">UPERC (Rooftop Solar PV Grid Interactive System Gross / Net Metering) Regulations, 2015 also </w:t>
      </w:r>
      <w:r>
        <w:rPr>
          <w:rFonts w:ascii="Georgia" w:hAnsi="Georgia"/>
          <w:sz w:val="24"/>
          <w:szCs w:val="24"/>
        </w:rPr>
        <w:t xml:space="preserve">called as </w:t>
      </w:r>
      <w:r w:rsidRPr="00DE5C9A">
        <w:rPr>
          <w:rFonts w:ascii="Georgia" w:hAnsi="Georgia"/>
          <w:sz w:val="24"/>
          <w:szCs w:val="24"/>
        </w:rPr>
        <w:t>RSPV Regulations, 2015</w:t>
      </w:r>
      <w:r>
        <w:rPr>
          <w:rFonts w:ascii="Georgia" w:hAnsi="Georgia"/>
          <w:sz w:val="24"/>
          <w:szCs w:val="24"/>
        </w:rPr>
        <w:t xml:space="preserve"> no</w:t>
      </w:r>
      <w:r w:rsidR="00445812">
        <w:rPr>
          <w:rFonts w:ascii="Georgia" w:hAnsi="Georgia"/>
          <w:sz w:val="24"/>
          <w:szCs w:val="24"/>
        </w:rPr>
        <w:t xml:space="preserve">tified </w:t>
      </w:r>
      <w:r>
        <w:rPr>
          <w:rFonts w:ascii="Georgia" w:hAnsi="Georgia"/>
          <w:sz w:val="24"/>
          <w:szCs w:val="24"/>
        </w:rPr>
        <w:t xml:space="preserve">on </w:t>
      </w:r>
      <w:r w:rsidR="00445812">
        <w:rPr>
          <w:rFonts w:ascii="Georgia" w:hAnsi="Georgia"/>
          <w:sz w:val="24"/>
          <w:szCs w:val="24"/>
        </w:rPr>
        <w:t>20</w:t>
      </w:r>
      <w:r w:rsidRPr="00822C08">
        <w:rPr>
          <w:rFonts w:ascii="Georgia" w:hAnsi="Georgia"/>
          <w:sz w:val="24"/>
          <w:szCs w:val="24"/>
          <w:vertAlign w:val="superscript"/>
        </w:rPr>
        <w:t>th</w:t>
      </w:r>
      <w:r>
        <w:rPr>
          <w:rFonts w:ascii="Georgia" w:hAnsi="Georgia"/>
          <w:sz w:val="24"/>
          <w:szCs w:val="24"/>
        </w:rPr>
        <w:t xml:space="preserve"> </w:t>
      </w:r>
      <w:r w:rsidR="00445812">
        <w:rPr>
          <w:rFonts w:ascii="Georgia" w:hAnsi="Georgia"/>
          <w:sz w:val="24"/>
          <w:szCs w:val="24"/>
        </w:rPr>
        <w:t>March</w:t>
      </w:r>
      <w:r>
        <w:rPr>
          <w:rFonts w:ascii="Georgia" w:hAnsi="Georgia"/>
          <w:sz w:val="24"/>
          <w:szCs w:val="24"/>
        </w:rPr>
        <w:t xml:space="preserve"> 2015. The scheme is available for all consumers in the State of Uttar Pradesh to implement the technology of their choice from Net Metering or Gross metering.</w:t>
      </w:r>
    </w:p>
    <w:p w:rsidR="00ED6870" w:rsidRPr="001F594F" w:rsidRDefault="00ED6870" w:rsidP="00810B8E">
      <w:pPr>
        <w:spacing w:line="276" w:lineRule="auto"/>
        <w:jc w:val="both"/>
        <w:rPr>
          <w:rFonts w:ascii="Georgia" w:hAnsi="Georgia"/>
          <w:b/>
          <w:i/>
          <w:color w:val="C00000"/>
          <w:sz w:val="32"/>
        </w:rPr>
      </w:pPr>
      <w:r w:rsidRPr="001F594F">
        <w:rPr>
          <w:rFonts w:ascii="Georgia" w:hAnsi="Georgia"/>
          <w:b/>
          <w:i/>
          <w:color w:val="C00000"/>
          <w:sz w:val="32"/>
        </w:rPr>
        <w:t>Legal and regulatory framework</w:t>
      </w:r>
    </w:p>
    <w:p w:rsidR="00ED6870" w:rsidRPr="00810B8E" w:rsidRDefault="00ED6870" w:rsidP="00810B8E">
      <w:pPr>
        <w:spacing w:line="276" w:lineRule="auto"/>
        <w:jc w:val="both"/>
        <w:rPr>
          <w:rFonts w:ascii="Georgia" w:hAnsi="Georgia"/>
        </w:rPr>
      </w:pPr>
      <w:r w:rsidRPr="00810B8E">
        <w:rPr>
          <w:rFonts w:ascii="Georgia" w:hAnsi="Georgia"/>
        </w:rPr>
        <w:t>The Uttar Pradesh Electricity Regulatory Commission (the Commission) has been vested with the functions under the Section 86 of the Electricity Act, 2003 (the Act) to determine the tariff for generation, supply, transmission and wheeling of electricity, wholesale, bulk or retail, as the case maybe, within the State. Section 61 of the Act requires the Commission to be guided by the multi-year tariff principles while specifying the terms and conditions for determination of tariff.</w:t>
      </w:r>
    </w:p>
    <w:p w:rsidR="00ED6870" w:rsidRPr="00810B8E" w:rsidRDefault="00ED6870" w:rsidP="00810B8E">
      <w:pPr>
        <w:spacing w:line="276" w:lineRule="auto"/>
        <w:jc w:val="both"/>
        <w:rPr>
          <w:rFonts w:ascii="Georgia" w:hAnsi="Georgia"/>
        </w:rPr>
      </w:pPr>
      <w:r w:rsidRPr="00810B8E">
        <w:rPr>
          <w:rFonts w:ascii="Georgia" w:hAnsi="Georgia"/>
        </w:rPr>
        <w:t xml:space="preserve">“The Appropriate Commission shall, subject to the provisions of this Act, specify the terms and conditions for the determination of tariff, and in doing so, shall be guided by the following, namely:- </w:t>
      </w:r>
    </w:p>
    <w:p w:rsidR="00ED6870" w:rsidRPr="00810B8E" w:rsidRDefault="00ED6870" w:rsidP="00810B8E">
      <w:pPr>
        <w:pStyle w:val="ListParagraph"/>
        <w:numPr>
          <w:ilvl w:val="0"/>
          <w:numId w:val="2"/>
        </w:numPr>
        <w:spacing w:line="276" w:lineRule="auto"/>
        <w:ind w:left="992" w:hanging="425"/>
        <w:contextualSpacing w:val="0"/>
        <w:jc w:val="both"/>
        <w:rPr>
          <w:rFonts w:ascii="Georgia" w:hAnsi="Georgia"/>
        </w:rPr>
      </w:pPr>
      <w:r w:rsidRPr="00810B8E">
        <w:rPr>
          <w:rFonts w:ascii="Georgia" w:hAnsi="Georgia"/>
        </w:rPr>
        <w:t xml:space="preserve">The principles and methodologies specified by the Central Commission for determination of the tariff applicable to generating companies and transmission licensees;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The generation, transmission, distribution and supply of electricity are conducted on commercial principles;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The factors which would encourage competition, efficiency, economical use of the resources, good performance and optimum investments;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Safeguarding of consumers' interest and at the same time, recovery of the cost of electricity in a reasonable manner;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The principles rewarding efficiency in performance;</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Multi-year tariff principles;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lastRenderedPageBreak/>
        <w:t xml:space="preserve">That the tariff progressively reflects the cost of supply of electricity and also reduces cross-subsidies in the manner specified by the Appropriate Commission;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 xml:space="preserve">The promotion of co-generation and generation of electricity from renewable sources of energy; </w:t>
      </w:r>
    </w:p>
    <w:p w:rsidR="00ED6870" w:rsidRPr="00810B8E" w:rsidRDefault="00ED6870" w:rsidP="00810B8E">
      <w:pPr>
        <w:pStyle w:val="ListParagraph"/>
        <w:numPr>
          <w:ilvl w:val="0"/>
          <w:numId w:val="2"/>
        </w:numPr>
        <w:spacing w:before="240" w:line="276" w:lineRule="auto"/>
        <w:ind w:left="992" w:hanging="425"/>
        <w:contextualSpacing w:val="0"/>
        <w:jc w:val="both"/>
        <w:rPr>
          <w:rFonts w:ascii="Georgia" w:hAnsi="Georgia"/>
        </w:rPr>
      </w:pPr>
      <w:r w:rsidRPr="00810B8E">
        <w:rPr>
          <w:rFonts w:ascii="Georgia" w:hAnsi="Georgia"/>
        </w:rPr>
        <w:t>The National Electricity Policy and tariff policy"</w:t>
      </w:r>
    </w:p>
    <w:p w:rsidR="00ED6870" w:rsidRPr="00810B8E" w:rsidRDefault="00FC68A8" w:rsidP="00810B8E">
      <w:pPr>
        <w:spacing w:line="276" w:lineRule="auto"/>
        <w:jc w:val="both"/>
        <w:rPr>
          <w:rFonts w:ascii="Georgia" w:hAnsi="Georgia"/>
        </w:rPr>
      </w:pPr>
      <w:r>
        <w:rPr>
          <w:rFonts w:ascii="Georgia" w:hAnsi="Georgia"/>
        </w:rPr>
        <w:t xml:space="preserve">Further, Section 66 (Development of Market) of the act specify the State Commission to act in a manner </w:t>
      </w:r>
      <w:r w:rsidR="00366C92">
        <w:rPr>
          <w:rFonts w:ascii="Georgia" w:hAnsi="Georgia"/>
        </w:rPr>
        <w:t xml:space="preserve">to promote the </w:t>
      </w:r>
      <w:r w:rsidR="00366C92" w:rsidRPr="00366C92">
        <w:rPr>
          <w:rFonts w:ascii="Georgia" w:hAnsi="Georgia"/>
        </w:rPr>
        <w:t>development of a market (including trading) in power in such manner as may</w:t>
      </w:r>
      <w:r w:rsidR="00366C92">
        <w:rPr>
          <w:rFonts w:ascii="Georgia" w:hAnsi="Georgia"/>
        </w:rPr>
        <w:t xml:space="preserve"> </w:t>
      </w:r>
      <w:r w:rsidR="00366C92" w:rsidRPr="00366C92">
        <w:rPr>
          <w:rFonts w:ascii="Georgia" w:hAnsi="Georgia"/>
        </w:rPr>
        <w:t>be specified and shall be guided by the National Electricity Policy</w:t>
      </w:r>
      <w:r w:rsidR="00366C92">
        <w:rPr>
          <w:rFonts w:ascii="Georgia" w:hAnsi="Georgia"/>
        </w:rPr>
        <w:t>.</w:t>
      </w:r>
    </w:p>
    <w:p w:rsidR="00195864" w:rsidRDefault="00ED6870" w:rsidP="00810B8E">
      <w:pPr>
        <w:spacing w:line="276" w:lineRule="auto"/>
        <w:jc w:val="both"/>
        <w:rPr>
          <w:rFonts w:ascii="Georgia" w:hAnsi="Georgia"/>
        </w:rPr>
      </w:pPr>
      <w:r w:rsidRPr="00810B8E">
        <w:rPr>
          <w:rFonts w:ascii="Georgia" w:hAnsi="Georgia"/>
        </w:rPr>
        <w:t>Further, Section 86(1) (e) of the Act specifically provides for promotion of cogeneration and generation of electricity from renewable sources of energy by providing suitable measures for connectivity with the grid and sale of electricity to any person, and also specify, for purchase of electricity from such sources, a percentage of the total consumption of electricity in the area of distribution licensee.</w:t>
      </w:r>
    </w:p>
    <w:p w:rsidR="004E069A" w:rsidRDefault="004E069A" w:rsidP="00810B8E">
      <w:pPr>
        <w:spacing w:line="276" w:lineRule="auto"/>
        <w:jc w:val="both"/>
        <w:rPr>
          <w:rFonts w:ascii="Georgia" w:hAnsi="Georgia"/>
          <w:b/>
          <w:i/>
          <w:color w:val="C00000"/>
          <w:sz w:val="32"/>
        </w:rPr>
      </w:pPr>
      <w:r w:rsidRPr="004E069A">
        <w:rPr>
          <w:rFonts w:ascii="Georgia" w:hAnsi="Georgia"/>
          <w:b/>
          <w:i/>
          <w:color w:val="C00000"/>
          <w:sz w:val="32"/>
        </w:rPr>
        <w:t>Issues raised by different stakeholders in RSPV Regulations, 2015</w:t>
      </w:r>
    </w:p>
    <w:p w:rsidR="004E069A" w:rsidRDefault="004E069A" w:rsidP="00810B8E">
      <w:pPr>
        <w:spacing w:line="276" w:lineRule="auto"/>
        <w:jc w:val="both"/>
        <w:rPr>
          <w:rFonts w:ascii="Georgia" w:hAnsi="Georgia"/>
          <w:sz w:val="24"/>
          <w:szCs w:val="24"/>
        </w:rPr>
      </w:pPr>
      <w:r w:rsidRPr="00193A48">
        <w:rPr>
          <w:rFonts w:ascii="Georgia" w:hAnsi="Georgia"/>
          <w:b/>
          <w:sz w:val="24"/>
          <w:szCs w:val="24"/>
        </w:rPr>
        <w:t>Issue:</w:t>
      </w:r>
      <w:r>
        <w:rPr>
          <w:rFonts w:ascii="Georgia" w:hAnsi="Georgia"/>
          <w:b/>
          <w:sz w:val="24"/>
          <w:szCs w:val="24"/>
        </w:rPr>
        <w:t xml:space="preserve"> </w:t>
      </w:r>
      <w:r w:rsidR="00E13A7F" w:rsidRPr="00E13A7F">
        <w:rPr>
          <w:rFonts w:ascii="Georgia" w:hAnsi="Georgia"/>
          <w:sz w:val="24"/>
          <w:szCs w:val="24"/>
        </w:rPr>
        <w:t>Increase in</w:t>
      </w:r>
      <w:r w:rsidR="00E13A7F">
        <w:rPr>
          <w:rFonts w:ascii="Georgia" w:hAnsi="Georgia"/>
          <w:b/>
          <w:sz w:val="24"/>
          <w:szCs w:val="24"/>
        </w:rPr>
        <w:t xml:space="preserve"> </w:t>
      </w:r>
      <w:r w:rsidR="00E13A7F">
        <w:rPr>
          <w:rFonts w:ascii="Georgia" w:hAnsi="Georgia"/>
          <w:sz w:val="24"/>
          <w:szCs w:val="24"/>
        </w:rPr>
        <w:t>C</w:t>
      </w:r>
      <w:r w:rsidR="001E4369">
        <w:rPr>
          <w:rFonts w:ascii="Georgia" w:hAnsi="Georgia"/>
          <w:sz w:val="24"/>
          <w:szCs w:val="24"/>
        </w:rPr>
        <w:t>apacity of solar syste</w:t>
      </w:r>
      <w:r w:rsidR="00E13A7F">
        <w:rPr>
          <w:rFonts w:ascii="Georgia" w:hAnsi="Georgia"/>
          <w:sz w:val="24"/>
          <w:szCs w:val="24"/>
        </w:rPr>
        <w:t>m, which is presently</w:t>
      </w:r>
      <w:r w:rsidR="001E4369">
        <w:rPr>
          <w:rFonts w:ascii="Georgia" w:hAnsi="Georgia"/>
          <w:sz w:val="24"/>
          <w:szCs w:val="24"/>
        </w:rPr>
        <w:t xml:space="preserve"> 2</w:t>
      </w:r>
      <w:r w:rsidRPr="00DB1C45">
        <w:rPr>
          <w:rFonts w:ascii="Georgia" w:hAnsi="Georgia"/>
          <w:sz w:val="24"/>
          <w:szCs w:val="24"/>
        </w:rPr>
        <w:t>5% of distribution transformer capacity</w:t>
      </w:r>
      <w:r>
        <w:rPr>
          <w:rFonts w:ascii="Georgia" w:hAnsi="Georgia"/>
          <w:sz w:val="24"/>
          <w:szCs w:val="24"/>
        </w:rPr>
        <w:t>.</w:t>
      </w:r>
    </w:p>
    <w:p w:rsidR="00A41E01" w:rsidRDefault="00A41E01" w:rsidP="00810B8E">
      <w:pPr>
        <w:spacing w:line="276" w:lineRule="auto"/>
        <w:jc w:val="both"/>
        <w:rPr>
          <w:rFonts w:ascii="Georgia" w:hAnsi="Georgia"/>
          <w:sz w:val="24"/>
          <w:szCs w:val="24"/>
        </w:rPr>
      </w:pPr>
      <w:r w:rsidRPr="00DD0FB7">
        <w:rPr>
          <w:rFonts w:ascii="Georgia" w:hAnsi="Georgia"/>
          <w:b/>
          <w:sz w:val="24"/>
          <w:szCs w:val="24"/>
        </w:rPr>
        <w:t>Description:</w:t>
      </w:r>
      <w:r>
        <w:rPr>
          <w:rFonts w:ascii="Georgia" w:hAnsi="Georgia"/>
          <w:sz w:val="24"/>
          <w:szCs w:val="24"/>
        </w:rPr>
        <w:t xml:space="preserve"> It has been observed that various stakeholders have </w:t>
      </w:r>
      <w:r w:rsidR="00E13A7F">
        <w:rPr>
          <w:rFonts w:ascii="Georgia" w:hAnsi="Georgia"/>
          <w:sz w:val="24"/>
          <w:szCs w:val="24"/>
        </w:rPr>
        <w:t>raised the issue</w:t>
      </w:r>
      <w:r>
        <w:rPr>
          <w:rFonts w:ascii="Georgia" w:hAnsi="Georgia"/>
          <w:sz w:val="24"/>
          <w:szCs w:val="24"/>
        </w:rPr>
        <w:t xml:space="preserve"> to remove the restriction on the installed </w:t>
      </w:r>
      <w:r w:rsidR="000C48DE">
        <w:rPr>
          <w:rFonts w:ascii="Georgia" w:hAnsi="Georgia"/>
          <w:sz w:val="24"/>
          <w:szCs w:val="24"/>
        </w:rPr>
        <w:t>capacity linked to 25% of the distribution transformer capacity.</w:t>
      </w:r>
    </w:p>
    <w:p w:rsidR="00F62843" w:rsidRDefault="00F62843" w:rsidP="00810B8E">
      <w:pPr>
        <w:spacing w:line="276" w:lineRule="auto"/>
        <w:jc w:val="both"/>
        <w:rPr>
          <w:rFonts w:ascii="Georgia" w:hAnsi="Georgia"/>
          <w:sz w:val="24"/>
          <w:szCs w:val="24"/>
        </w:rPr>
      </w:pPr>
    </w:p>
    <w:p w:rsidR="000C48DE" w:rsidRDefault="000C48DE" w:rsidP="00810B8E">
      <w:pPr>
        <w:spacing w:line="276" w:lineRule="auto"/>
        <w:jc w:val="both"/>
        <w:rPr>
          <w:rFonts w:ascii="Georgia" w:hAnsi="Georgia"/>
          <w:sz w:val="24"/>
          <w:szCs w:val="24"/>
        </w:rPr>
      </w:pPr>
      <w:r w:rsidRPr="00DD0FB7">
        <w:rPr>
          <w:rFonts w:ascii="Georgia" w:hAnsi="Georgia"/>
          <w:b/>
          <w:sz w:val="24"/>
          <w:szCs w:val="24"/>
        </w:rPr>
        <w:t>Issue:</w:t>
      </w:r>
      <w:r>
        <w:rPr>
          <w:rFonts w:ascii="Georgia" w:hAnsi="Georgia"/>
          <w:sz w:val="24"/>
          <w:szCs w:val="24"/>
        </w:rPr>
        <w:t xml:space="preserve"> </w:t>
      </w:r>
      <w:r w:rsidR="00E13A7F">
        <w:rPr>
          <w:rFonts w:ascii="Georgia" w:hAnsi="Georgia"/>
          <w:sz w:val="24"/>
          <w:szCs w:val="24"/>
        </w:rPr>
        <w:t xml:space="preserve">Increase </w:t>
      </w:r>
      <w:r w:rsidR="001B700F">
        <w:rPr>
          <w:rFonts w:ascii="Georgia" w:hAnsi="Georgia"/>
          <w:sz w:val="24"/>
          <w:szCs w:val="24"/>
        </w:rPr>
        <w:t>the limit of</w:t>
      </w:r>
      <w:r w:rsidR="00E13A7F">
        <w:rPr>
          <w:rFonts w:ascii="Georgia" w:hAnsi="Georgia"/>
          <w:sz w:val="24"/>
          <w:szCs w:val="24"/>
        </w:rPr>
        <w:t xml:space="preserve"> </w:t>
      </w:r>
      <w:r>
        <w:rPr>
          <w:rFonts w:ascii="Georgia" w:hAnsi="Georgia"/>
          <w:sz w:val="24"/>
          <w:szCs w:val="24"/>
        </w:rPr>
        <w:t xml:space="preserve">Maximum </w:t>
      </w:r>
      <w:r w:rsidR="00DD0FB7">
        <w:rPr>
          <w:rFonts w:ascii="Georgia" w:hAnsi="Georgia"/>
          <w:sz w:val="24"/>
          <w:szCs w:val="24"/>
        </w:rPr>
        <w:t>Installed</w:t>
      </w:r>
      <w:r>
        <w:rPr>
          <w:rFonts w:ascii="Georgia" w:hAnsi="Georgia"/>
          <w:sz w:val="24"/>
          <w:szCs w:val="24"/>
        </w:rPr>
        <w:t xml:space="preserve"> Capacity of 1 MW</w:t>
      </w:r>
      <w:r w:rsidR="00DD0FB7">
        <w:rPr>
          <w:rFonts w:ascii="Georgia" w:hAnsi="Georgia"/>
          <w:sz w:val="24"/>
          <w:szCs w:val="24"/>
        </w:rPr>
        <w:t xml:space="preserve"> under Net Metering arrangement</w:t>
      </w:r>
    </w:p>
    <w:p w:rsidR="000C48DE" w:rsidRDefault="000C48DE" w:rsidP="00810B8E">
      <w:pPr>
        <w:spacing w:line="276" w:lineRule="auto"/>
        <w:jc w:val="both"/>
        <w:rPr>
          <w:rFonts w:ascii="Georgia" w:hAnsi="Georgia"/>
          <w:sz w:val="24"/>
          <w:szCs w:val="24"/>
        </w:rPr>
      </w:pPr>
      <w:r w:rsidRPr="00DD0FB7">
        <w:rPr>
          <w:rFonts w:ascii="Georgia" w:hAnsi="Georgia"/>
          <w:b/>
          <w:sz w:val="24"/>
          <w:szCs w:val="24"/>
        </w:rPr>
        <w:t>De</w:t>
      </w:r>
      <w:r w:rsidR="00DD0FB7" w:rsidRPr="00DD0FB7">
        <w:rPr>
          <w:rFonts w:ascii="Georgia" w:hAnsi="Georgia"/>
          <w:b/>
          <w:sz w:val="24"/>
          <w:szCs w:val="24"/>
        </w:rPr>
        <w:t>s</w:t>
      </w:r>
      <w:r w:rsidRPr="00DD0FB7">
        <w:rPr>
          <w:rFonts w:ascii="Georgia" w:hAnsi="Georgia"/>
          <w:b/>
          <w:sz w:val="24"/>
          <w:szCs w:val="24"/>
        </w:rPr>
        <w:t>cription:</w:t>
      </w:r>
      <w:r>
        <w:rPr>
          <w:rFonts w:ascii="Georgia" w:hAnsi="Georgia"/>
          <w:sz w:val="24"/>
          <w:szCs w:val="24"/>
        </w:rPr>
        <w:t xml:space="preserve"> It has been observed that many stakeholders have </w:t>
      </w:r>
      <w:r w:rsidR="00E13A7F">
        <w:rPr>
          <w:rFonts w:ascii="Georgia" w:hAnsi="Georgia"/>
          <w:sz w:val="24"/>
          <w:szCs w:val="24"/>
        </w:rPr>
        <w:t>raised the issue</w:t>
      </w:r>
      <w:r>
        <w:rPr>
          <w:rFonts w:ascii="Georgia" w:hAnsi="Georgia"/>
          <w:sz w:val="24"/>
          <w:szCs w:val="24"/>
        </w:rPr>
        <w:t xml:space="preserve"> through</w:t>
      </w:r>
      <w:r w:rsidR="00DD0FB7">
        <w:rPr>
          <w:rFonts w:ascii="Georgia" w:hAnsi="Georgia"/>
          <w:sz w:val="24"/>
          <w:szCs w:val="24"/>
        </w:rPr>
        <w:t xml:space="preserve"> different mediums to increase the allowed installed capacity under Net metering arrangement.</w:t>
      </w:r>
    </w:p>
    <w:p w:rsidR="00F62843" w:rsidRDefault="00F62843" w:rsidP="00810B8E">
      <w:pPr>
        <w:spacing w:line="276" w:lineRule="auto"/>
        <w:jc w:val="both"/>
        <w:rPr>
          <w:rFonts w:ascii="Georgia" w:hAnsi="Georgia"/>
          <w:sz w:val="24"/>
          <w:szCs w:val="24"/>
        </w:rPr>
      </w:pPr>
    </w:p>
    <w:p w:rsidR="00DD0FB7" w:rsidRDefault="00DD0FB7" w:rsidP="00810B8E">
      <w:pPr>
        <w:spacing w:line="276" w:lineRule="auto"/>
        <w:jc w:val="both"/>
        <w:rPr>
          <w:rFonts w:ascii="Georgia" w:hAnsi="Georgia"/>
          <w:sz w:val="24"/>
          <w:szCs w:val="24"/>
        </w:rPr>
      </w:pPr>
      <w:r w:rsidRPr="00193A48">
        <w:rPr>
          <w:rFonts w:ascii="Georgia" w:hAnsi="Georgia"/>
          <w:b/>
          <w:sz w:val="24"/>
          <w:szCs w:val="24"/>
        </w:rPr>
        <w:t>Issue:</w:t>
      </w:r>
      <w:r>
        <w:rPr>
          <w:rFonts w:ascii="Georgia" w:hAnsi="Georgia"/>
          <w:b/>
          <w:sz w:val="24"/>
          <w:szCs w:val="24"/>
        </w:rPr>
        <w:t xml:space="preserve"> </w:t>
      </w:r>
      <w:r w:rsidR="00E13A7F" w:rsidRPr="00E13A7F">
        <w:rPr>
          <w:rFonts w:ascii="Georgia" w:hAnsi="Georgia"/>
          <w:sz w:val="24"/>
          <w:szCs w:val="24"/>
        </w:rPr>
        <w:t>Increase in</w:t>
      </w:r>
      <w:r w:rsidR="00E13A7F">
        <w:rPr>
          <w:rFonts w:ascii="Georgia" w:hAnsi="Georgia"/>
          <w:b/>
          <w:sz w:val="24"/>
          <w:szCs w:val="24"/>
        </w:rPr>
        <w:t xml:space="preserve"> </w:t>
      </w:r>
      <w:r w:rsidR="00E13A7F">
        <w:rPr>
          <w:rFonts w:ascii="Georgia" w:hAnsi="Georgia"/>
          <w:sz w:val="24"/>
          <w:szCs w:val="24"/>
        </w:rPr>
        <w:t>l</w:t>
      </w:r>
      <w:r>
        <w:rPr>
          <w:rFonts w:ascii="Georgia" w:hAnsi="Georgia"/>
          <w:sz w:val="24"/>
          <w:szCs w:val="24"/>
        </w:rPr>
        <w:t>imitation on allowed installed capacity to the contracted capacity</w:t>
      </w:r>
    </w:p>
    <w:p w:rsidR="00DD0FB7" w:rsidRDefault="00DD0FB7" w:rsidP="00810B8E">
      <w:pPr>
        <w:spacing w:line="276" w:lineRule="auto"/>
        <w:jc w:val="both"/>
        <w:rPr>
          <w:rFonts w:ascii="Georgia" w:hAnsi="Georgia"/>
          <w:sz w:val="24"/>
          <w:szCs w:val="24"/>
        </w:rPr>
      </w:pPr>
      <w:r w:rsidRPr="00DD0FB7">
        <w:rPr>
          <w:rFonts w:ascii="Georgia" w:hAnsi="Georgia"/>
          <w:b/>
          <w:sz w:val="24"/>
          <w:szCs w:val="24"/>
        </w:rPr>
        <w:t>Description:</w:t>
      </w:r>
      <w:r>
        <w:rPr>
          <w:rFonts w:ascii="Georgia" w:hAnsi="Georgia"/>
          <w:b/>
          <w:sz w:val="24"/>
          <w:szCs w:val="24"/>
        </w:rPr>
        <w:t xml:space="preserve"> </w:t>
      </w:r>
      <w:r w:rsidR="00E13A7F" w:rsidRPr="00E13A7F">
        <w:rPr>
          <w:rFonts w:ascii="Georgia" w:hAnsi="Georgia"/>
          <w:sz w:val="24"/>
          <w:szCs w:val="24"/>
        </w:rPr>
        <w:t>Some</w:t>
      </w:r>
      <w:r w:rsidR="00E13A7F">
        <w:rPr>
          <w:rFonts w:ascii="Georgia" w:hAnsi="Georgia"/>
          <w:b/>
          <w:sz w:val="24"/>
          <w:szCs w:val="24"/>
        </w:rPr>
        <w:t xml:space="preserve"> </w:t>
      </w:r>
      <w:r w:rsidR="00083C87">
        <w:rPr>
          <w:rFonts w:ascii="Georgia" w:hAnsi="Georgia"/>
          <w:sz w:val="24"/>
          <w:szCs w:val="24"/>
        </w:rPr>
        <w:t>S</w:t>
      </w:r>
      <w:r w:rsidRPr="00DD0FB7">
        <w:rPr>
          <w:rFonts w:ascii="Georgia" w:hAnsi="Georgia"/>
          <w:sz w:val="24"/>
          <w:szCs w:val="24"/>
        </w:rPr>
        <w:t xml:space="preserve">takeholders have </w:t>
      </w:r>
      <w:r w:rsidR="00E13A7F">
        <w:rPr>
          <w:rFonts w:ascii="Georgia" w:hAnsi="Georgia"/>
          <w:sz w:val="24"/>
          <w:szCs w:val="24"/>
        </w:rPr>
        <w:t>raised the issue</w:t>
      </w:r>
      <w:r w:rsidRPr="00DD0FB7">
        <w:rPr>
          <w:rFonts w:ascii="Georgia" w:hAnsi="Georgia"/>
          <w:sz w:val="24"/>
          <w:szCs w:val="24"/>
        </w:rPr>
        <w:t xml:space="preserve"> to relax the norm on limitation on allowed installed capacity to the contracted capacity</w:t>
      </w:r>
      <w:r>
        <w:rPr>
          <w:rFonts w:ascii="Georgia" w:hAnsi="Georgia"/>
          <w:sz w:val="24"/>
          <w:szCs w:val="24"/>
        </w:rPr>
        <w:t>.</w:t>
      </w:r>
    </w:p>
    <w:p w:rsidR="00F62843" w:rsidRDefault="00F62843" w:rsidP="00810B8E">
      <w:pPr>
        <w:spacing w:line="276" w:lineRule="auto"/>
        <w:jc w:val="both"/>
        <w:rPr>
          <w:rFonts w:ascii="Georgia" w:hAnsi="Georgia"/>
          <w:sz w:val="24"/>
          <w:szCs w:val="24"/>
        </w:rPr>
      </w:pPr>
    </w:p>
    <w:p w:rsidR="00DD0FB7" w:rsidRDefault="00DD0FB7" w:rsidP="00810B8E">
      <w:pPr>
        <w:spacing w:line="276" w:lineRule="auto"/>
        <w:jc w:val="both"/>
        <w:rPr>
          <w:rFonts w:ascii="Georgia" w:hAnsi="Georgia"/>
          <w:sz w:val="24"/>
          <w:szCs w:val="24"/>
        </w:rPr>
      </w:pPr>
      <w:r w:rsidRPr="001E1C65">
        <w:rPr>
          <w:rFonts w:ascii="Georgia" w:hAnsi="Georgia"/>
          <w:b/>
          <w:sz w:val="24"/>
          <w:szCs w:val="24"/>
        </w:rPr>
        <w:t>Issue:</w:t>
      </w:r>
      <w:r>
        <w:rPr>
          <w:rFonts w:ascii="Georgia" w:hAnsi="Georgia"/>
          <w:sz w:val="24"/>
          <w:szCs w:val="24"/>
        </w:rPr>
        <w:t xml:space="preserve"> Solar Power settlement tariff of Rs. 2/kWh</w:t>
      </w:r>
    </w:p>
    <w:p w:rsidR="00DD0FB7" w:rsidRDefault="00DD0FB7" w:rsidP="00810B8E">
      <w:pPr>
        <w:spacing w:line="276" w:lineRule="auto"/>
        <w:jc w:val="both"/>
        <w:rPr>
          <w:rFonts w:ascii="Georgia" w:hAnsi="Georgia"/>
          <w:sz w:val="24"/>
          <w:szCs w:val="24"/>
        </w:rPr>
      </w:pPr>
      <w:r w:rsidRPr="00083C87">
        <w:rPr>
          <w:rFonts w:ascii="Georgia" w:hAnsi="Georgia"/>
          <w:b/>
          <w:sz w:val="24"/>
          <w:szCs w:val="24"/>
        </w:rPr>
        <w:t>Description:</w:t>
      </w:r>
      <w:r w:rsidR="00083C87">
        <w:rPr>
          <w:rFonts w:ascii="Georgia" w:hAnsi="Georgia"/>
          <w:b/>
          <w:sz w:val="24"/>
          <w:szCs w:val="24"/>
        </w:rPr>
        <w:t xml:space="preserve"> </w:t>
      </w:r>
      <w:r w:rsidRPr="00083C87">
        <w:rPr>
          <w:rFonts w:ascii="Georgia" w:hAnsi="Georgia"/>
          <w:b/>
          <w:sz w:val="24"/>
          <w:szCs w:val="24"/>
        </w:rPr>
        <w:t xml:space="preserve"> </w:t>
      </w:r>
      <w:r w:rsidR="001E1C65">
        <w:rPr>
          <w:rFonts w:ascii="Georgia" w:hAnsi="Georgia"/>
          <w:sz w:val="24"/>
          <w:szCs w:val="24"/>
        </w:rPr>
        <w:t>Stakeholders have rais</w:t>
      </w:r>
      <w:r w:rsidR="001E1C65" w:rsidRPr="00DD0FB7">
        <w:rPr>
          <w:rFonts w:ascii="Georgia" w:hAnsi="Georgia"/>
          <w:sz w:val="24"/>
          <w:szCs w:val="24"/>
        </w:rPr>
        <w:t xml:space="preserve">ed the </w:t>
      </w:r>
      <w:r w:rsidR="001E1C65">
        <w:rPr>
          <w:rFonts w:ascii="Georgia" w:hAnsi="Georgia"/>
          <w:sz w:val="24"/>
          <w:szCs w:val="24"/>
        </w:rPr>
        <w:t>issue that the tariff offered on the sale of solar power after settlement period i.e. Rs. 2/kWh is low</w:t>
      </w:r>
      <w:r w:rsidR="00062689">
        <w:rPr>
          <w:rFonts w:ascii="Georgia" w:hAnsi="Georgia"/>
          <w:sz w:val="24"/>
          <w:szCs w:val="24"/>
        </w:rPr>
        <w:t xml:space="preserve"> and a higher tariff shall be allowed to encourage Solar PV installation</w:t>
      </w:r>
      <w:r w:rsidR="001E1C65">
        <w:rPr>
          <w:rFonts w:ascii="Georgia" w:hAnsi="Georgia"/>
          <w:sz w:val="24"/>
          <w:szCs w:val="24"/>
        </w:rPr>
        <w:t>.</w:t>
      </w:r>
    </w:p>
    <w:p w:rsidR="00F62843" w:rsidRDefault="00F62843" w:rsidP="00810B8E">
      <w:pPr>
        <w:spacing w:line="276" w:lineRule="auto"/>
        <w:jc w:val="both"/>
        <w:rPr>
          <w:rFonts w:ascii="Georgia" w:hAnsi="Georgia"/>
          <w:sz w:val="24"/>
          <w:szCs w:val="24"/>
        </w:rPr>
      </w:pPr>
    </w:p>
    <w:p w:rsidR="001E1C65" w:rsidRDefault="001E1C65" w:rsidP="00810B8E">
      <w:pPr>
        <w:spacing w:line="276" w:lineRule="auto"/>
        <w:jc w:val="both"/>
        <w:rPr>
          <w:rFonts w:ascii="Georgia" w:hAnsi="Georgia"/>
          <w:sz w:val="24"/>
          <w:szCs w:val="24"/>
        </w:rPr>
      </w:pPr>
      <w:r w:rsidRPr="00F62843">
        <w:rPr>
          <w:rFonts w:ascii="Georgia" w:hAnsi="Georgia"/>
          <w:b/>
          <w:sz w:val="24"/>
          <w:szCs w:val="24"/>
        </w:rPr>
        <w:t>Issue:</w:t>
      </w:r>
      <w:r>
        <w:rPr>
          <w:rFonts w:ascii="Georgia" w:hAnsi="Georgia"/>
          <w:sz w:val="24"/>
          <w:szCs w:val="24"/>
        </w:rPr>
        <w:t xml:space="preserve"> Aggregator Model</w:t>
      </w:r>
      <w:r w:rsidR="00060C8B">
        <w:rPr>
          <w:rFonts w:ascii="Georgia" w:hAnsi="Georgia"/>
          <w:sz w:val="24"/>
          <w:szCs w:val="24"/>
        </w:rPr>
        <w:t xml:space="preserve"> under Net Metering arrangement</w:t>
      </w:r>
    </w:p>
    <w:p w:rsidR="00B4024E" w:rsidRPr="00FF041A" w:rsidRDefault="001E1C65" w:rsidP="00FF041A">
      <w:pPr>
        <w:spacing w:line="276" w:lineRule="auto"/>
        <w:jc w:val="both"/>
        <w:rPr>
          <w:rFonts w:ascii="Georgia" w:hAnsi="Georgia"/>
          <w:sz w:val="24"/>
          <w:szCs w:val="24"/>
        </w:rPr>
      </w:pPr>
      <w:r w:rsidRPr="00F62843">
        <w:rPr>
          <w:rFonts w:ascii="Georgia" w:hAnsi="Georgia"/>
          <w:b/>
          <w:sz w:val="24"/>
          <w:szCs w:val="24"/>
        </w:rPr>
        <w:t>Description:</w:t>
      </w:r>
      <w:r>
        <w:rPr>
          <w:rFonts w:ascii="Georgia" w:hAnsi="Georgia"/>
          <w:sz w:val="24"/>
          <w:szCs w:val="24"/>
        </w:rPr>
        <w:t xml:space="preserve"> </w:t>
      </w:r>
      <w:r w:rsidR="001B700F">
        <w:rPr>
          <w:rFonts w:ascii="Georgia" w:hAnsi="Georgia"/>
          <w:sz w:val="24"/>
          <w:szCs w:val="24"/>
        </w:rPr>
        <w:t>The commission has already allowed the provision of aggregator model under gross Metering arrangement. Now, t</w:t>
      </w:r>
      <w:r>
        <w:rPr>
          <w:rFonts w:ascii="Georgia" w:hAnsi="Georgia"/>
          <w:sz w:val="24"/>
          <w:szCs w:val="24"/>
        </w:rPr>
        <w:t xml:space="preserve">he Commission proposes to allow aggregator model for installation of Solar PV for a group of consumer under Net Metering arrangement. The settlement between the individual </w:t>
      </w:r>
      <w:r w:rsidR="00E13A7F">
        <w:rPr>
          <w:rFonts w:ascii="Georgia" w:hAnsi="Georgia"/>
          <w:sz w:val="24"/>
          <w:szCs w:val="24"/>
        </w:rPr>
        <w:t>con</w:t>
      </w:r>
      <w:r>
        <w:rPr>
          <w:rFonts w:ascii="Georgia" w:hAnsi="Georgia"/>
          <w:sz w:val="24"/>
          <w:szCs w:val="24"/>
        </w:rPr>
        <w:t>sumer in the group and the third party (if involved) will be the responsibility of the group</w:t>
      </w:r>
      <w:r w:rsidR="00E13A7F">
        <w:rPr>
          <w:rFonts w:ascii="Georgia" w:hAnsi="Georgia"/>
          <w:sz w:val="24"/>
          <w:szCs w:val="24"/>
        </w:rPr>
        <w:t xml:space="preserve"> / third party</w:t>
      </w:r>
      <w:r>
        <w:rPr>
          <w:rFonts w:ascii="Georgia" w:hAnsi="Georgia"/>
          <w:sz w:val="24"/>
          <w:szCs w:val="24"/>
        </w:rPr>
        <w:t xml:space="preserve"> itself and </w:t>
      </w:r>
      <w:r w:rsidR="00F62843">
        <w:rPr>
          <w:rFonts w:ascii="Georgia" w:hAnsi="Georgia"/>
          <w:sz w:val="24"/>
          <w:szCs w:val="24"/>
        </w:rPr>
        <w:t xml:space="preserve">shall be driven by </w:t>
      </w:r>
      <w:r w:rsidR="00E13A7F">
        <w:rPr>
          <w:rFonts w:ascii="Georgia" w:hAnsi="Georgia"/>
          <w:sz w:val="24"/>
          <w:szCs w:val="24"/>
        </w:rPr>
        <w:t>the</w:t>
      </w:r>
      <w:r w:rsidR="00F62843">
        <w:rPr>
          <w:rFonts w:ascii="Georgia" w:hAnsi="Georgia"/>
          <w:sz w:val="24"/>
          <w:szCs w:val="24"/>
        </w:rPr>
        <w:t xml:space="preserve"> agreement between them.</w:t>
      </w:r>
      <w:r w:rsidR="00E13A7F">
        <w:rPr>
          <w:rFonts w:ascii="Georgia" w:hAnsi="Georgia"/>
          <w:sz w:val="24"/>
          <w:szCs w:val="24"/>
        </w:rPr>
        <w:t xml:space="preserve"> Rest of the conditions shall remain </w:t>
      </w:r>
      <w:r w:rsidR="001B700F">
        <w:rPr>
          <w:rFonts w:ascii="Georgia" w:hAnsi="Georgia"/>
          <w:sz w:val="24"/>
          <w:szCs w:val="24"/>
        </w:rPr>
        <w:t xml:space="preserve">same </w:t>
      </w:r>
      <w:r w:rsidR="00E13A7F">
        <w:rPr>
          <w:rFonts w:ascii="Georgia" w:hAnsi="Georgia"/>
          <w:sz w:val="24"/>
          <w:szCs w:val="24"/>
        </w:rPr>
        <w:t>as provided for Gross Metering under this arrangement.</w:t>
      </w:r>
      <w:r w:rsidR="00B4024E">
        <w:rPr>
          <w:rFonts w:ascii="Georgia" w:hAnsi="Georgia"/>
          <w:sz w:val="24"/>
          <w:szCs w:val="24"/>
        </w:rPr>
        <w:t xml:space="preserve"> Therefore the Aggregator Model under Net Metering Arrangemen</w:t>
      </w:r>
      <w:r w:rsidR="004437AD">
        <w:rPr>
          <w:rFonts w:ascii="Georgia" w:hAnsi="Georgia"/>
          <w:sz w:val="24"/>
          <w:szCs w:val="24"/>
        </w:rPr>
        <w:t>t will allow Group / Th</w:t>
      </w:r>
      <w:r w:rsidR="00B4024E">
        <w:rPr>
          <w:rFonts w:ascii="Georgia" w:hAnsi="Georgia"/>
          <w:sz w:val="24"/>
          <w:szCs w:val="24"/>
        </w:rPr>
        <w:t>i</w:t>
      </w:r>
      <w:r w:rsidR="004437AD">
        <w:rPr>
          <w:rFonts w:ascii="Georgia" w:hAnsi="Georgia"/>
          <w:sz w:val="24"/>
          <w:szCs w:val="24"/>
        </w:rPr>
        <w:t>r</w:t>
      </w:r>
      <w:r w:rsidR="00FF041A">
        <w:rPr>
          <w:rFonts w:ascii="Georgia" w:hAnsi="Georgia"/>
          <w:sz w:val="24"/>
          <w:szCs w:val="24"/>
        </w:rPr>
        <w:t>d Party owner t</w:t>
      </w:r>
      <w:r w:rsidR="00B4024E" w:rsidRPr="00FF041A">
        <w:rPr>
          <w:rFonts w:ascii="Georgia" w:hAnsi="Georgia"/>
          <w:sz w:val="24"/>
          <w:szCs w:val="24"/>
        </w:rPr>
        <w:t xml:space="preserve">o install solar captive power plant upto the </w:t>
      </w:r>
      <w:r w:rsidR="00FF041A">
        <w:rPr>
          <w:rFonts w:ascii="Georgia" w:hAnsi="Georgia"/>
          <w:sz w:val="24"/>
          <w:szCs w:val="24"/>
        </w:rPr>
        <w:t xml:space="preserve">total </w:t>
      </w:r>
      <w:r w:rsidR="00B4024E" w:rsidRPr="00FF041A">
        <w:rPr>
          <w:rFonts w:ascii="Georgia" w:hAnsi="Georgia"/>
          <w:sz w:val="24"/>
          <w:szCs w:val="24"/>
        </w:rPr>
        <w:t xml:space="preserve">capacity of </w:t>
      </w:r>
      <w:r w:rsidR="00FF041A">
        <w:rPr>
          <w:rFonts w:ascii="Georgia" w:hAnsi="Georgia"/>
          <w:sz w:val="24"/>
          <w:szCs w:val="24"/>
        </w:rPr>
        <w:t xml:space="preserve">cumulative </w:t>
      </w:r>
      <w:r w:rsidR="00B4024E" w:rsidRPr="00FF041A">
        <w:rPr>
          <w:rFonts w:ascii="Georgia" w:hAnsi="Georgia"/>
          <w:sz w:val="24"/>
          <w:szCs w:val="24"/>
        </w:rPr>
        <w:t>contracted load of the group</w:t>
      </w:r>
      <w:r w:rsidR="00FF041A">
        <w:rPr>
          <w:rFonts w:ascii="Georgia" w:hAnsi="Georgia"/>
          <w:sz w:val="24"/>
          <w:szCs w:val="24"/>
        </w:rPr>
        <w:t xml:space="preserve"> of consumers connected with same Distribution Transformer </w:t>
      </w:r>
      <w:r w:rsidR="00FF041A">
        <w:rPr>
          <w:rFonts w:ascii="Georgia" w:hAnsi="Georgia"/>
          <w:sz w:val="24"/>
          <w:szCs w:val="24"/>
        </w:rPr>
        <w:t>(upto the limit of 25% of capacity of DT)</w:t>
      </w:r>
      <w:r w:rsidR="00FF041A">
        <w:rPr>
          <w:rFonts w:ascii="Georgia" w:hAnsi="Georgia"/>
          <w:sz w:val="24"/>
          <w:szCs w:val="24"/>
        </w:rPr>
        <w:t>.</w:t>
      </w:r>
    </w:p>
    <w:p w:rsidR="00D705D8" w:rsidRDefault="00D705D8" w:rsidP="00810B8E">
      <w:pPr>
        <w:spacing w:line="276" w:lineRule="auto"/>
        <w:jc w:val="both"/>
        <w:rPr>
          <w:rFonts w:ascii="Georgia" w:hAnsi="Georgia"/>
          <w:sz w:val="24"/>
        </w:rPr>
      </w:pPr>
      <w:r w:rsidRPr="00FF041A">
        <w:rPr>
          <w:rFonts w:ascii="Georgia" w:hAnsi="Georgia"/>
          <w:sz w:val="24"/>
        </w:rPr>
        <w:t>The comments, suggestions and objections from CEA,</w:t>
      </w:r>
      <w:r w:rsidR="0023390D" w:rsidRPr="00FF041A">
        <w:rPr>
          <w:rFonts w:ascii="Georgia" w:hAnsi="Georgia"/>
          <w:sz w:val="24"/>
        </w:rPr>
        <w:t xml:space="preserve"> </w:t>
      </w:r>
      <w:r w:rsidRPr="00FF041A">
        <w:rPr>
          <w:rFonts w:ascii="Georgia" w:hAnsi="Georgia"/>
          <w:sz w:val="24"/>
        </w:rPr>
        <w:t>CERC, SERCs, UPPCL, Discoms, UP</w:t>
      </w:r>
      <w:r w:rsidR="001B700F" w:rsidRPr="00FF041A">
        <w:rPr>
          <w:rFonts w:ascii="Georgia" w:hAnsi="Georgia"/>
          <w:sz w:val="24"/>
        </w:rPr>
        <w:t>N</w:t>
      </w:r>
      <w:r w:rsidRPr="00FF041A">
        <w:rPr>
          <w:rFonts w:ascii="Georgia" w:hAnsi="Georgia"/>
          <w:sz w:val="24"/>
        </w:rPr>
        <w:t>EDA, Captive Producers and other stakeholders are invited in writing so as to reach to the Commission’s office at Kisan Mandi Bhawan, 2nd Floor, Gomti Nagar, Lucknow, personally or by post, so as to reach within 15 days from the date of publication of discussion paper.</w:t>
      </w:r>
    </w:p>
    <w:p w:rsidR="00FF041A" w:rsidRDefault="00FF041A" w:rsidP="00810B8E">
      <w:pPr>
        <w:spacing w:line="276" w:lineRule="auto"/>
        <w:jc w:val="both"/>
        <w:rPr>
          <w:rFonts w:ascii="Georgia" w:hAnsi="Georgia"/>
          <w:sz w:val="24"/>
        </w:rPr>
      </w:pPr>
    </w:p>
    <w:p w:rsidR="00FF041A" w:rsidRPr="00FF041A" w:rsidRDefault="00FF041A" w:rsidP="00810B8E">
      <w:pPr>
        <w:spacing w:line="276" w:lineRule="auto"/>
        <w:jc w:val="both"/>
        <w:rPr>
          <w:rFonts w:ascii="Georgia" w:hAnsi="Georgia"/>
          <w:sz w:val="24"/>
        </w:rPr>
      </w:pPr>
      <w:r>
        <w:rPr>
          <w:rFonts w:ascii="Georgia" w:hAnsi="Georgia"/>
          <w:sz w:val="24"/>
        </w:rPr>
        <w:t>Date: ….05.2017</w:t>
      </w:r>
      <w:bookmarkStart w:id="0" w:name="_GoBack"/>
      <w:bookmarkEnd w:id="0"/>
    </w:p>
    <w:p w:rsidR="00FF041A" w:rsidRPr="00FF041A" w:rsidRDefault="00FF041A">
      <w:pPr>
        <w:spacing w:line="276" w:lineRule="auto"/>
        <w:jc w:val="both"/>
        <w:rPr>
          <w:rFonts w:ascii="Georgia" w:hAnsi="Georgia"/>
          <w:sz w:val="24"/>
        </w:rPr>
      </w:pPr>
    </w:p>
    <w:sectPr w:rsidR="00FF041A" w:rsidRPr="00FF041A" w:rsidSect="00333756">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57" w:rsidRDefault="00224B57" w:rsidP="00810B8E">
      <w:pPr>
        <w:spacing w:after="0" w:line="240" w:lineRule="auto"/>
      </w:pPr>
      <w:r>
        <w:separator/>
      </w:r>
    </w:p>
  </w:endnote>
  <w:endnote w:type="continuationSeparator" w:id="0">
    <w:p w:rsidR="00224B57" w:rsidRDefault="00224B57" w:rsidP="0081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7492"/>
      <w:docPartObj>
        <w:docPartGallery w:val="Page Numbers (Bottom of Page)"/>
        <w:docPartUnique/>
      </w:docPartObj>
    </w:sdtPr>
    <w:sdtEndPr>
      <w:rPr>
        <w:color w:val="7F7F7F" w:themeColor="background1" w:themeShade="7F"/>
        <w:spacing w:val="60"/>
      </w:rPr>
    </w:sdtEndPr>
    <w:sdtContent>
      <w:p w:rsidR="00201144" w:rsidRDefault="002011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041A">
          <w:rPr>
            <w:noProof/>
          </w:rPr>
          <w:t>2</w:t>
        </w:r>
        <w:r>
          <w:rPr>
            <w:noProof/>
          </w:rPr>
          <w:fldChar w:fldCharType="end"/>
        </w:r>
        <w:r>
          <w:t xml:space="preserve"> | </w:t>
        </w:r>
        <w:r>
          <w:rPr>
            <w:color w:val="7F7F7F" w:themeColor="background1" w:themeShade="7F"/>
            <w:spacing w:val="60"/>
          </w:rPr>
          <w:t>Page</w:t>
        </w:r>
      </w:p>
    </w:sdtContent>
  </w:sdt>
  <w:p w:rsidR="00201144" w:rsidRDefault="0020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57" w:rsidRDefault="00224B57" w:rsidP="00810B8E">
      <w:pPr>
        <w:spacing w:after="0" w:line="240" w:lineRule="auto"/>
      </w:pPr>
      <w:r>
        <w:separator/>
      </w:r>
    </w:p>
  </w:footnote>
  <w:footnote w:type="continuationSeparator" w:id="0">
    <w:p w:rsidR="00224B57" w:rsidRDefault="00224B57" w:rsidP="0081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martClassicTable"/>
      <w:tblpPr w:vertAnchor="page" w:horzAnchor="margin" w:tblpY="1248"/>
      <w:tblOverlap w:val="never"/>
      <w:tblW w:w="10093" w:type="dxa"/>
      <w:tblBorders>
        <w:top w:val="single" w:sz="6" w:space="0" w:color="A32020"/>
        <w:left w:val="single" w:sz="6" w:space="0" w:color="A32020"/>
        <w:bottom w:val="none" w:sz="0" w:space="0" w:color="auto"/>
        <w:right w:val="none" w:sz="0" w:space="0" w:color="auto"/>
        <w:insideH w:val="single" w:sz="6" w:space="0" w:color="A32020"/>
        <w:insideV w:val="single" w:sz="6" w:space="0" w:color="A32020"/>
      </w:tblBorders>
      <w:tblCellMar>
        <w:left w:w="227" w:type="dxa"/>
        <w:right w:w="0" w:type="dxa"/>
      </w:tblCellMar>
      <w:tblLook w:val="04A0" w:firstRow="1" w:lastRow="0" w:firstColumn="1" w:lastColumn="0" w:noHBand="0" w:noVBand="1"/>
    </w:tblPr>
    <w:tblGrid>
      <w:gridCol w:w="10093"/>
    </w:tblGrid>
    <w:tr w:rsidR="00333756" w:rsidRPr="00333756" w:rsidTr="00333756">
      <w:trPr>
        <w:cnfStyle w:val="100000000000" w:firstRow="1" w:lastRow="0" w:firstColumn="0" w:lastColumn="0" w:oddVBand="0" w:evenVBand="0" w:oddHBand="0" w:evenHBand="0" w:firstRowFirstColumn="0" w:firstRowLastColumn="0" w:lastRowFirstColumn="0" w:lastRowLastColumn="0"/>
        <w:trHeight w:hRule="exact" w:val="227"/>
      </w:trPr>
      <w:tc>
        <w:tcPr>
          <w:tcW w:w="10149" w:type="dxa"/>
        </w:tcPr>
        <w:p w:rsidR="00333756" w:rsidRPr="00333756" w:rsidRDefault="00333756" w:rsidP="00333756">
          <w:pPr>
            <w:spacing w:after="0"/>
            <w:rPr>
              <w:rFonts w:ascii="Arial" w:hAnsi="Arial" w:cs="Arial"/>
              <w:color w:val="000000"/>
              <w:sz w:val="16"/>
            </w:rPr>
          </w:pPr>
        </w:p>
      </w:tc>
    </w:tr>
  </w:tbl>
  <w:p w:rsidR="00333756" w:rsidRDefault="00333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martClassicTable"/>
      <w:tblpPr w:vertAnchor="page" w:horzAnchor="margin" w:tblpY="1248"/>
      <w:tblOverlap w:val="never"/>
      <w:tblW w:w="10093" w:type="dxa"/>
      <w:tblBorders>
        <w:top w:val="single" w:sz="6" w:space="0" w:color="A32020"/>
        <w:left w:val="single" w:sz="6" w:space="0" w:color="A32020"/>
        <w:bottom w:val="none" w:sz="0" w:space="0" w:color="auto"/>
        <w:right w:val="none" w:sz="0" w:space="0" w:color="auto"/>
        <w:insideH w:val="single" w:sz="6" w:space="0" w:color="A32020"/>
        <w:insideV w:val="single" w:sz="6" w:space="0" w:color="A32020"/>
      </w:tblBorders>
      <w:tblCellMar>
        <w:left w:w="227" w:type="dxa"/>
        <w:right w:w="0" w:type="dxa"/>
      </w:tblCellMar>
      <w:tblLook w:val="04A0" w:firstRow="1" w:lastRow="0" w:firstColumn="1" w:lastColumn="0" w:noHBand="0" w:noVBand="1"/>
    </w:tblPr>
    <w:tblGrid>
      <w:gridCol w:w="10093"/>
    </w:tblGrid>
    <w:tr w:rsidR="00333756" w:rsidRPr="00333756" w:rsidTr="00894181">
      <w:trPr>
        <w:cnfStyle w:val="100000000000" w:firstRow="1" w:lastRow="0" w:firstColumn="0" w:lastColumn="0" w:oddVBand="0" w:evenVBand="0" w:oddHBand="0" w:evenHBand="0" w:firstRowFirstColumn="0" w:firstRowLastColumn="0" w:lastRowFirstColumn="0" w:lastRowLastColumn="0"/>
        <w:trHeight w:hRule="exact" w:val="227"/>
      </w:trPr>
      <w:tc>
        <w:tcPr>
          <w:tcW w:w="10149" w:type="dxa"/>
        </w:tcPr>
        <w:p w:rsidR="00333756" w:rsidRPr="00333756" w:rsidRDefault="00333756" w:rsidP="00333756">
          <w:pPr>
            <w:spacing w:after="0"/>
            <w:rPr>
              <w:rFonts w:ascii="Arial" w:hAnsi="Arial" w:cs="Arial"/>
              <w:color w:val="000000"/>
              <w:sz w:val="16"/>
            </w:rPr>
          </w:pPr>
        </w:p>
      </w:tc>
    </w:tr>
  </w:tbl>
  <w:p w:rsidR="00333756" w:rsidRDefault="00333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4CBC"/>
    <w:multiLevelType w:val="hybridMultilevel"/>
    <w:tmpl w:val="FD46F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0E3304"/>
    <w:multiLevelType w:val="hybridMultilevel"/>
    <w:tmpl w:val="03205834"/>
    <w:lvl w:ilvl="0" w:tplc="1DD012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9B1260"/>
    <w:multiLevelType w:val="hybridMultilevel"/>
    <w:tmpl w:val="3AEE4796"/>
    <w:lvl w:ilvl="0" w:tplc="6C986E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D853F7"/>
    <w:multiLevelType w:val="hybridMultilevel"/>
    <w:tmpl w:val="99889C30"/>
    <w:lvl w:ilvl="0" w:tplc="B2CCB3C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F82BFE"/>
    <w:multiLevelType w:val="hybridMultilevel"/>
    <w:tmpl w:val="B1DA7D94"/>
    <w:lvl w:ilvl="0" w:tplc="6C986EFE">
      <w:start w:val="1"/>
      <w:numFmt w:val="lowerLetter"/>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5">
    <w:nsid w:val="7BDE435D"/>
    <w:multiLevelType w:val="hybridMultilevel"/>
    <w:tmpl w:val="0A0499FC"/>
    <w:lvl w:ilvl="0" w:tplc="B608CF22">
      <w:start w:val="1"/>
      <w:numFmt w:val="lowerLetter"/>
      <w:lvlText w:val="%1)"/>
      <w:lvlJc w:val="left"/>
      <w:pPr>
        <w:ind w:left="1443" w:hanging="45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BC"/>
    <w:rsid w:val="000000FE"/>
    <w:rsid w:val="00014DA6"/>
    <w:rsid w:val="00060C8B"/>
    <w:rsid w:val="00062689"/>
    <w:rsid w:val="000635EA"/>
    <w:rsid w:val="00083C87"/>
    <w:rsid w:val="000C48DE"/>
    <w:rsid w:val="00134FBC"/>
    <w:rsid w:val="0019059C"/>
    <w:rsid w:val="00195864"/>
    <w:rsid w:val="001B700F"/>
    <w:rsid w:val="001E1C65"/>
    <w:rsid w:val="001E4244"/>
    <w:rsid w:val="001E4369"/>
    <w:rsid w:val="001F594F"/>
    <w:rsid w:val="00201144"/>
    <w:rsid w:val="00224B57"/>
    <w:rsid w:val="0023390D"/>
    <w:rsid w:val="00281473"/>
    <w:rsid w:val="00296847"/>
    <w:rsid w:val="002E2503"/>
    <w:rsid w:val="0030387A"/>
    <w:rsid w:val="00307933"/>
    <w:rsid w:val="0033295E"/>
    <w:rsid w:val="00333756"/>
    <w:rsid w:val="00366C92"/>
    <w:rsid w:val="00392BD7"/>
    <w:rsid w:val="003B515C"/>
    <w:rsid w:val="004437AD"/>
    <w:rsid w:val="0044414A"/>
    <w:rsid w:val="00445812"/>
    <w:rsid w:val="0047118B"/>
    <w:rsid w:val="004917F6"/>
    <w:rsid w:val="004E069A"/>
    <w:rsid w:val="00560FC3"/>
    <w:rsid w:val="00580B2F"/>
    <w:rsid w:val="005868A3"/>
    <w:rsid w:val="005E461C"/>
    <w:rsid w:val="005E5F1A"/>
    <w:rsid w:val="00695020"/>
    <w:rsid w:val="006F0423"/>
    <w:rsid w:val="00771F2D"/>
    <w:rsid w:val="007806F8"/>
    <w:rsid w:val="007F078A"/>
    <w:rsid w:val="007F76AC"/>
    <w:rsid w:val="00810B8E"/>
    <w:rsid w:val="00856585"/>
    <w:rsid w:val="00863EB3"/>
    <w:rsid w:val="00892BA7"/>
    <w:rsid w:val="0094196B"/>
    <w:rsid w:val="0094596B"/>
    <w:rsid w:val="00963E97"/>
    <w:rsid w:val="00983517"/>
    <w:rsid w:val="009B2D11"/>
    <w:rsid w:val="00A207A9"/>
    <w:rsid w:val="00A41E01"/>
    <w:rsid w:val="00A971D4"/>
    <w:rsid w:val="00AD13F2"/>
    <w:rsid w:val="00B4024E"/>
    <w:rsid w:val="00B4495B"/>
    <w:rsid w:val="00B47EA3"/>
    <w:rsid w:val="00BD0CC0"/>
    <w:rsid w:val="00BD602B"/>
    <w:rsid w:val="00BF3723"/>
    <w:rsid w:val="00BF715A"/>
    <w:rsid w:val="00C463BC"/>
    <w:rsid w:val="00C47E5D"/>
    <w:rsid w:val="00C501A2"/>
    <w:rsid w:val="00C74C10"/>
    <w:rsid w:val="00C80EFC"/>
    <w:rsid w:val="00D11997"/>
    <w:rsid w:val="00D20773"/>
    <w:rsid w:val="00D2270C"/>
    <w:rsid w:val="00D24434"/>
    <w:rsid w:val="00D537A0"/>
    <w:rsid w:val="00D705D8"/>
    <w:rsid w:val="00DA4470"/>
    <w:rsid w:val="00DD0FB7"/>
    <w:rsid w:val="00E13A7F"/>
    <w:rsid w:val="00E60116"/>
    <w:rsid w:val="00E900F8"/>
    <w:rsid w:val="00ED6870"/>
    <w:rsid w:val="00F20C74"/>
    <w:rsid w:val="00F51A0A"/>
    <w:rsid w:val="00F62843"/>
    <w:rsid w:val="00FB3B84"/>
    <w:rsid w:val="00FC68A8"/>
    <w:rsid w:val="00FF04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0906D-6CB4-41F6-BE84-B33BC83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244"/>
    <w:pPr>
      <w:ind w:left="720"/>
      <w:contextualSpacing/>
    </w:pPr>
  </w:style>
  <w:style w:type="paragraph" w:styleId="Header">
    <w:name w:val="header"/>
    <w:basedOn w:val="Normal"/>
    <w:link w:val="HeaderChar"/>
    <w:uiPriority w:val="99"/>
    <w:unhideWhenUsed/>
    <w:rsid w:val="0081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B8E"/>
  </w:style>
  <w:style w:type="paragraph" w:styleId="Footer">
    <w:name w:val="footer"/>
    <w:basedOn w:val="Normal"/>
    <w:link w:val="FooterChar"/>
    <w:uiPriority w:val="99"/>
    <w:unhideWhenUsed/>
    <w:rsid w:val="0081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B8E"/>
  </w:style>
  <w:style w:type="table" w:customStyle="1" w:styleId="SmartClassicTable">
    <w:name w:val="Smart Classic Table"/>
    <w:basedOn w:val="TableNormal"/>
    <w:uiPriority w:val="99"/>
    <w:qFormat/>
    <w:rsid w:val="00333756"/>
    <w:pPr>
      <w:spacing w:before="60" w:after="60" w:line="240" w:lineRule="auto"/>
    </w:pPr>
    <w:rPr>
      <w:rFonts w:ascii="Georgia" w:eastAsia="Times New Roman" w:hAnsi="Georgia"/>
      <w:sz w:val="20"/>
      <w:lang w:val="en-US"/>
    </w:rPr>
    <w:tblPr>
      <w:tblInd w:w="0" w:type="dxa"/>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CellMar>
        <w:top w:w="0" w:type="dxa"/>
        <w:left w:w="108" w:type="dxa"/>
        <w:bottom w:w="0" w:type="dxa"/>
        <w:right w:w="108" w:type="dxa"/>
      </w:tblCellMar>
    </w:tblPr>
    <w:tblStylePr w:type="firstRow">
      <w:rPr>
        <w:rFonts w:ascii="Georgia" w:hAnsi="Georgia"/>
        <w:b/>
        <w:color w:val="A32020"/>
        <w:sz w:val="22"/>
      </w:rPr>
    </w:tblStylePr>
  </w:style>
  <w:style w:type="paragraph" w:styleId="NoSpacing">
    <w:name w:val="No Spacing"/>
    <w:link w:val="NoSpacingChar"/>
    <w:uiPriority w:val="1"/>
    <w:qFormat/>
    <w:rsid w:val="003337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3756"/>
    <w:rPr>
      <w:rFonts w:eastAsiaTheme="minorEastAsia"/>
      <w:lang w:val="en-US"/>
    </w:rPr>
  </w:style>
  <w:style w:type="paragraph" w:styleId="Title">
    <w:name w:val="Title"/>
    <w:basedOn w:val="Normal"/>
    <w:next w:val="Subtitle"/>
    <w:link w:val="TitleChar"/>
    <w:uiPriority w:val="99"/>
    <w:qFormat/>
    <w:rsid w:val="00333756"/>
    <w:pPr>
      <w:spacing w:after="0" w:line="240" w:lineRule="auto"/>
      <w:contextualSpacing/>
    </w:pPr>
    <w:rPr>
      <w:rFonts w:eastAsiaTheme="majorEastAsia" w:cstheme="majorBidi"/>
      <w:b/>
      <w:i/>
      <w:spacing w:val="5"/>
      <w:kern w:val="28"/>
      <w:sz w:val="80"/>
      <w:szCs w:val="52"/>
      <w:lang w:val="en-US"/>
    </w:rPr>
  </w:style>
  <w:style w:type="character" w:customStyle="1" w:styleId="TitleChar">
    <w:name w:val="Title Char"/>
    <w:basedOn w:val="DefaultParagraphFont"/>
    <w:link w:val="Title"/>
    <w:uiPriority w:val="99"/>
    <w:rsid w:val="00333756"/>
    <w:rPr>
      <w:rFonts w:eastAsiaTheme="majorEastAsia" w:cstheme="majorBidi"/>
      <w:b/>
      <w:i/>
      <w:spacing w:val="5"/>
      <w:kern w:val="28"/>
      <w:sz w:val="80"/>
      <w:szCs w:val="52"/>
      <w:lang w:val="en-US"/>
    </w:rPr>
  </w:style>
  <w:style w:type="paragraph" w:styleId="Subtitle">
    <w:name w:val="Subtitle"/>
    <w:basedOn w:val="Normal"/>
    <w:next w:val="Normal"/>
    <w:link w:val="SubtitleChar"/>
    <w:uiPriority w:val="11"/>
    <w:qFormat/>
    <w:rsid w:val="003337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375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1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8467</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Discussion paper on UPERC (Rooftop Solar PV Grid Interactive System Gross / Net Metering) Regulations, 2015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Discussion paper on UPERC (Rooftop Solar PV Grid Interactive System Gross / Net Metering) Regulations, 2015 </dc:title>
  <dc:subject/>
  <dc:creator>ABPS</dc:creator>
  <cp:keywords/>
  <dc:description/>
  <cp:lastModifiedBy>ABPS</cp:lastModifiedBy>
  <cp:revision>20</cp:revision>
  <cp:lastPrinted>2017-05-04T06:31:00Z</cp:lastPrinted>
  <dcterms:created xsi:type="dcterms:W3CDTF">2017-03-30T11:50:00Z</dcterms:created>
  <dcterms:modified xsi:type="dcterms:W3CDTF">2017-05-04T07:16:00Z</dcterms:modified>
</cp:coreProperties>
</file>